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b w:val="0"/>
          <w:bCs w:val="0"/>
          <w:color w:val="auto"/>
          <w:sz w:val="44"/>
          <w:szCs w:val="44"/>
          <w:highlight w:val="none"/>
          <w:lang w:val="en-US" w:eastAsia="zh-CN"/>
        </w:rPr>
        <w:t>《林芝市零碳城市建设课题研究》编制单位</w:t>
      </w:r>
      <w:r>
        <w:rPr>
          <w:rFonts w:hint="eastAsia" w:ascii="方正小标宋_GBK" w:hAnsi="方正小标宋_GBK" w:eastAsia="方正小标宋_GBK" w:cs="方正小标宋_GBK"/>
          <w:sz w:val="44"/>
          <w:szCs w:val="52"/>
        </w:rPr>
        <w:t>遴选评分细则</w:t>
      </w:r>
    </w:p>
    <w:p/>
    <w:tbl>
      <w:tblPr>
        <w:tblStyle w:val="6"/>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98"/>
        <w:gridCol w:w="1639"/>
        <w:gridCol w:w="5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vAlign w:val="center"/>
          </w:tcPr>
          <w:p>
            <w:pPr>
              <w:pStyle w:val="2"/>
              <w:spacing w:before="0" w:line="2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398" w:type="dxa"/>
            <w:vAlign w:val="center"/>
          </w:tcPr>
          <w:p>
            <w:pPr>
              <w:pStyle w:val="2"/>
              <w:spacing w:before="0" w:line="2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评审内容</w:t>
            </w:r>
          </w:p>
        </w:tc>
        <w:tc>
          <w:tcPr>
            <w:tcW w:w="6938" w:type="dxa"/>
            <w:gridSpan w:val="2"/>
            <w:vAlign w:val="center"/>
          </w:tcPr>
          <w:p>
            <w:pPr>
              <w:pStyle w:val="2"/>
              <w:spacing w:before="0" w:line="2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03" w:type="dxa"/>
            <w:vMerge w:val="restart"/>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398" w:type="dxa"/>
            <w:vMerge w:val="restart"/>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商务部分</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1639" w:type="dxa"/>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业绩</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5299" w:type="dxa"/>
            <w:vAlign w:val="center"/>
          </w:tcPr>
          <w:p>
            <w:pPr>
              <w:pStyle w:val="2"/>
              <w:spacing w:before="0" w:line="260" w:lineRule="exact"/>
              <w:jc w:val="left"/>
              <w:rPr>
                <w:rFonts w:hint="eastAsia" w:ascii="仿宋_GB2312" w:hAnsi="仿宋_GB2312" w:eastAsia="仿宋_GB2312" w:cs="仿宋_GB2312"/>
                <w:sz w:val="21"/>
                <w:szCs w:val="21"/>
                <w:shd w:val="clear" w:color="auto" w:fill="auto"/>
                <w:lang w:val="en-US" w:eastAsia="zh-CN"/>
              </w:rPr>
            </w:pPr>
            <w:r>
              <w:rPr>
                <w:rFonts w:hint="eastAsia" w:ascii="仿宋_GB2312" w:hAnsi="仿宋_GB2312" w:eastAsia="仿宋_GB2312" w:cs="仿宋_GB2312"/>
                <w:sz w:val="21"/>
                <w:szCs w:val="21"/>
                <w:shd w:val="clear" w:color="auto" w:fill="auto"/>
                <w:lang w:val="en-US" w:eastAsia="zh-CN"/>
              </w:rPr>
              <w:t>提供近5年（2021年1月1日至今）同类项目业绩，每个得2分，最多得10分。</w:t>
            </w:r>
          </w:p>
          <w:p>
            <w:pPr>
              <w:pStyle w:val="2"/>
              <w:spacing w:before="0" w:line="260" w:lineRule="exact"/>
              <w:jc w:val="left"/>
              <w:rPr>
                <w:rFonts w:hint="eastAsia" w:ascii="仿宋_GB2312" w:hAnsi="仿宋_GB2312" w:eastAsia="仿宋_GB2312" w:cs="仿宋_GB2312"/>
                <w:sz w:val="21"/>
                <w:szCs w:val="21"/>
                <w:shd w:val="clear" w:color="auto" w:fill="auto"/>
                <w:lang w:val="en-US" w:eastAsia="zh-CN"/>
              </w:rPr>
            </w:pPr>
            <w:r>
              <w:rPr>
                <w:rFonts w:hint="eastAsia" w:ascii="仿宋_GB2312" w:hAnsi="仿宋_GB2312" w:eastAsia="仿宋_GB2312" w:cs="仿宋_GB2312"/>
                <w:sz w:val="21"/>
                <w:szCs w:val="21"/>
                <w:shd w:val="clear" w:color="auto" w:fill="auto"/>
                <w:lang w:val="en-US" w:eastAsia="zh-CN"/>
              </w:rPr>
              <w:t>备注：提供相关证明材料并加盖公章。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639" w:type="dxa"/>
            <w:vAlign w:val="center"/>
          </w:tcPr>
          <w:p>
            <w:pPr>
              <w:pStyle w:val="2"/>
              <w:spacing w:before="0"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公司实力</w:t>
            </w:r>
          </w:p>
          <w:p>
            <w:pPr>
              <w:pStyle w:val="2"/>
              <w:spacing w:before="0" w:line="2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分）</w:t>
            </w:r>
          </w:p>
        </w:tc>
        <w:tc>
          <w:tcPr>
            <w:tcW w:w="5299" w:type="dxa"/>
            <w:vAlign w:val="center"/>
          </w:tcPr>
          <w:p>
            <w:pPr>
              <w:jc w:val="left"/>
              <w:rPr>
                <w:rFonts w:hint="eastAsia" w:ascii="仿宋_GB2312" w:hAnsi="仿宋_GB2312" w:eastAsia="仿宋_GB2312" w:cs="仿宋_GB2312"/>
                <w:kern w:val="2"/>
                <w:sz w:val="21"/>
                <w:szCs w:val="21"/>
                <w:shd w:val="clear" w:color="auto" w:fill="auto"/>
                <w:lang w:val="en-US" w:eastAsia="zh-CN" w:bidi="ar-SA"/>
              </w:rPr>
            </w:pPr>
            <w:r>
              <w:rPr>
                <w:rFonts w:hint="eastAsia" w:ascii="仿宋_GB2312" w:hAnsi="仿宋_GB2312" w:eastAsia="仿宋_GB2312" w:cs="仿宋_GB2312"/>
                <w:kern w:val="2"/>
                <w:sz w:val="21"/>
                <w:szCs w:val="21"/>
                <w:shd w:val="clear" w:color="auto" w:fill="auto"/>
                <w:lang w:val="en-US" w:eastAsia="zh-CN" w:bidi="ar-SA"/>
              </w:rPr>
              <w:t>（1）具有咨询类综合甲级资质的得6分，咨询类甲级资质的得4分，咨询类乙级资质的得2分，其他等级或不提供不得分。</w:t>
            </w:r>
          </w:p>
          <w:p>
            <w:pPr>
              <w:jc w:val="left"/>
              <w:rPr>
                <w:rFonts w:hint="eastAsia" w:ascii="仿宋_GB2312" w:hAnsi="仿宋_GB2312" w:eastAsia="仿宋_GB2312" w:cs="仿宋_GB2312"/>
                <w:kern w:val="2"/>
                <w:sz w:val="21"/>
                <w:szCs w:val="21"/>
                <w:shd w:val="clear" w:color="auto" w:fill="auto"/>
                <w:lang w:val="en-US" w:eastAsia="zh-CN" w:bidi="ar-SA"/>
              </w:rPr>
            </w:pPr>
            <w:r>
              <w:rPr>
                <w:rFonts w:hint="eastAsia" w:ascii="仿宋_GB2312" w:hAnsi="仿宋_GB2312" w:eastAsia="仿宋_GB2312" w:cs="仿宋_GB2312"/>
                <w:kern w:val="2"/>
                <w:sz w:val="21"/>
                <w:szCs w:val="21"/>
                <w:shd w:val="clear" w:color="auto" w:fill="auto"/>
                <w:lang w:val="en-US" w:eastAsia="zh-CN" w:bidi="ar-SA"/>
              </w:rPr>
              <w:t>（2）</w:t>
            </w:r>
            <w:r>
              <w:rPr>
                <w:rFonts w:hint="eastAsia" w:ascii="仿宋_GB2312" w:hAnsi="仿宋_GB2312" w:eastAsia="仿宋_GB2312" w:cs="仿宋_GB2312"/>
                <w:sz w:val="21"/>
                <w:szCs w:val="21"/>
                <w:shd w:val="clear" w:color="auto" w:fill="auto"/>
                <w:lang w:val="en-US" w:eastAsia="zh-CN"/>
              </w:rPr>
              <w:t>提供近5年（2021年1月1日至今）</w:t>
            </w:r>
            <w:r>
              <w:rPr>
                <w:rFonts w:hint="eastAsia" w:ascii="仿宋_GB2312" w:hAnsi="仿宋_GB2312" w:eastAsia="仿宋_GB2312" w:cs="仿宋_GB2312"/>
                <w:kern w:val="2"/>
                <w:sz w:val="21"/>
                <w:szCs w:val="21"/>
                <w:shd w:val="clear" w:color="auto" w:fill="auto"/>
                <w:lang w:val="en-US" w:eastAsia="zh-CN" w:bidi="ar-SA"/>
              </w:rPr>
              <w:t>，获得过省部级及以上工程咨询协会优秀工程咨询成果奖的每个得1分，本项最多得3分。</w:t>
            </w:r>
          </w:p>
          <w:p>
            <w:pPr>
              <w:pStyle w:val="2"/>
              <w:spacing w:before="0" w:line="260" w:lineRule="exact"/>
              <w:jc w:val="left"/>
              <w:rPr>
                <w:rFonts w:hint="eastAsia" w:ascii="仿宋_GB2312" w:hAnsi="仿宋_GB2312" w:eastAsia="仿宋_GB2312" w:cs="仿宋_GB2312"/>
                <w:kern w:val="2"/>
                <w:sz w:val="21"/>
                <w:szCs w:val="21"/>
                <w:shd w:val="clear" w:color="auto" w:fill="auto"/>
                <w:lang w:val="en-US" w:eastAsia="zh-CN" w:bidi="ar-SA"/>
              </w:rPr>
            </w:pPr>
            <w:r>
              <w:rPr>
                <w:rFonts w:hint="eastAsia" w:ascii="仿宋_GB2312" w:hAnsi="仿宋_GB2312" w:eastAsia="仿宋_GB2312" w:cs="仿宋_GB2312"/>
                <w:kern w:val="2"/>
                <w:sz w:val="21"/>
                <w:szCs w:val="21"/>
                <w:shd w:val="clear" w:color="auto" w:fill="auto"/>
                <w:lang w:val="en-US" w:eastAsia="zh-CN" w:bidi="ar-SA"/>
              </w:rPr>
              <w:t>（序号（1）和（2）提供复印件，加盖鲜章）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639" w:type="dxa"/>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服务团队</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5299" w:type="dxa"/>
            <w:vAlign w:val="center"/>
          </w:tcPr>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（1）项目负责人具有正高级专业技术职称，得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分；具有副高级专业技术职称，得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分；否则不得分。</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（2）项目团队成员有咨询工程师执业资格的，</w:t>
            </w:r>
            <w:r>
              <w:rPr>
                <w:rFonts w:hint="eastAsia" w:ascii="仿宋_GB2312" w:hAnsi="仿宋_GB2312" w:eastAsia="仿宋_GB2312" w:cs="仿宋_GB2312"/>
                <w:sz w:val="21"/>
                <w:szCs w:val="21"/>
                <w:lang w:val="en-US" w:eastAsia="zh-CN"/>
              </w:rPr>
              <w:t>每名</w:t>
            </w:r>
            <w:r>
              <w:rPr>
                <w:rFonts w:hint="eastAsia" w:ascii="仿宋_GB2312" w:hAnsi="仿宋_GB2312" w:eastAsia="仿宋_GB2312" w:cs="仿宋_GB2312"/>
                <w:sz w:val="21"/>
                <w:szCs w:val="21"/>
              </w:rPr>
              <w:t>得1分，最多得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bookmarkStart w:id="0" w:name="_GoBack"/>
            <w:bookmarkEnd w:id="0"/>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（序号（1）（2）提供证书复印件及近一年在本单位连续参保证明材料）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03" w:type="dxa"/>
            <w:vMerge w:val="restart"/>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398" w:type="dxa"/>
            <w:vMerge w:val="restart"/>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技术部分</w:t>
            </w:r>
          </w:p>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50</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大纲结构</w:t>
            </w:r>
          </w:p>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5299"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对课题</w:t>
            </w:r>
            <w:r>
              <w:rPr>
                <w:rFonts w:hint="eastAsia" w:ascii="仿宋_GB2312" w:hAnsi="仿宋_GB2312" w:eastAsia="仿宋_GB2312" w:cs="仿宋_GB2312"/>
                <w:color w:val="000000" w:themeColor="text1"/>
                <w:sz w:val="21"/>
                <w:szCs w:val="21"/>
                <w14:textFill>
                  <w14:solidFill>
                    <w14:schemeClr w14:val="tx1"/>
                  </w14:solidFill>
                </w14:textFill>
              </w:rPr>
              <w:t>编制大纲的科学性、全面性、合理性等情况进行打分。优秀得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11-</w:t>
            </w:r>
            <w:r>
              <w:rPr>
                <w:rFonts w:hint="eastAsia" w:ascii="仿宋_GB2312" w:hAnsi="仿宋_GB2312" w:eastAsia="仿宋_GB2312" w:cs="仿宋_GB2312"/>
                <w:color w:val="000000" w:themeColor="text1"/>
                <w:sz w:val="21"/>
                <w:szCs w:val="21"/>
                <w14:textFill>
                  <w14:solidFill>
                    <w14:schemeClr w14:val="tx1"/>
                  </w14:solidFill>
                </w14:textFill>
              </w:rPr>
              <w:t>15分，良好得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r>
              <w:rPr>
                <w:rFonts w:hint="eastAsia" w:ascii="仿宋_GB2312" w:hAnsi="仿宋_GB2312" w:eastAsia="仿宋_GB2312" w:cs="仿宋_GB2312"/>
                <w:color w:val="000000" w:themeColor="text1"/>
                <w:sz w:val="21"/>
                <w:szCs w:val="21"/>
                <w14:textFill>
                  <w14:solidFill>
                    <w14:schemeClr w14:val="tx1"/>
                  </w14:solidFill>
                </w14:textFill>
              </w:rPr>
              <w:t>10分，一般得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5分，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质量差</w:t>
            </w:r>
            <w:r>
              <w:rPr>
                <w:rFonts w:hint="eastAsia" w:ascii="仿宋_GB2312" w:hAnsi="仿宋_GB2312" w:eastAsia="仿宋_GB2312" w:cs="仿宋_GB2312"/>
                <w:color w:val="000000" w:themeColor="text1"/>
                <w:sz w:val="21"/>
                <w:szCs w:val="21"/>
                <w14:textFill>
                  <w14:solidFill>
                    <w14:schemeClr w14:val="tx1"/>
                  </w14:solidFill>
                </w14:textFill>
              </w:rPr>
              <w:t>或未提供不得分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编制思路</w:t>
            </w:r>
          </w:p>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p>
        </w:tc>
        <w:tc>
          <w:tcPr>
            <w:tcW w:w="5299"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课题</w:t>
            </w:r>
            <w:r>
              <w:rPr>
                <w:rFonts w:hint="eastAsia" w:ascii="仿宋_GB2312" w:hAnsi="仿宋_GB2312" w:eastAsia="仿宋_GB2312" w:cs="仿宋_GB2312"/>
                <w:color w:val="000000" w:themeColor="text1"/>
                <w:sz w:val="21"/>
                <w:szCs w:val="21"/>
                <w14:textFill>
                  <w14:solidFill>
                    <w14:schemeClr w14:val="tx1"/>
                  </w14:solidFill>
                </w14:textFill>
              </w:rPr>
              <w:t>编制总体思路的清晰合理情况进行打分。优秀得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10分，良好得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7分，一般得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4分，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质量差</w:t>
            </w:r>
            <w:r>
              <w:rPr>
                <w:rFonts w:hint="eastAsia" w:ascii="仿宋_GB2312" w:hAnsi="仿宋_GB2312" w:eastAsia="仿宋_GB2312" w:cs="仿宋_GB2312"/>
                <w:color w:val="000000" w:themeColor="text1"/>
                <w:sz w:val="21"/>
                <w:szCs w:val="21"/>
                <w14:textFill>
                  <w14:solidFill>
                    <w14:schemeClr w14:val="tx1"/>
                  </w14:solidFill>
                </w14:textFill>
              </w:rPr>
              <w:t>或未提供不得分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技术路线</w:t>
            </w:r>
          </w:p>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p>
        </w:tc>
        <w:tc>
          <w:tcPr>
            <w:tcW w:w="5299"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对课题目标、技术路线描述进行打分。优秀得8-10分，良好得5-7分，一般得1-4分，质量差或未提供不得分。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项目进度计划及组织措施</w:t>
            </w:r>
          </w:p>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（10分）</w:t>
            </w:r>
          </w:p>
        </w:tc>
        <w:tc>
          <w:tcPr>
            <w:tcW w:w="5299"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对在要求的时间内项目各阶段完成的工作内容、团队组织及人员配置情况进行打分。优秀得8-10分，良好得5-7分，一般得1-4分，质量差或未提供不得分。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3" w:type="dxa"/>
            <w:vMerge w:val="continue"/>
            <w:vAlign w:val="center"/>
          </w:tcPr>
          <w:p>
            <w:pPr>
              <w:pStyle w:val="2"/>
              <w:spacing w:before="0" w:line="260" w:lineRule="exact"/>
              <w:jc w:val="center"/>
              <w:rPr>
                <w:rFonts w:hint="eastAsia" w:ascii="仿宋_GB2312" w:hAnsi="仿宋_GB2312" w:eastAsia="仿宋_GB2312" w:cs="仿宋_GB2312"/>
                <w:sz w:val="21"/>
                <w:szCs w:val="21"/>
              </w:rPr>
            </w:pPr>
          </w:p>
        </w:tc>
        <w:tc>
          <w:tcPr>
            <w:tcW w:w="1398" w:type="dxa"/>
            <w:vMerge w:val="continue"/>
            <w:vAlign w:val="center"/>
          </w:tcPr>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639" w:type="dxa"/>
            <w:vAlign w:val="center"/>
          </w:tcPr>
          <w:p>
            <w:pPr>
              <w:pStyle w:val="2"/>
              <w:spacing w:before="0" w:line="260" w:lineRule="exact"/>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申报材料质量</w:t>
            </w:r>
          </w:p>
          <w:p>
            <w:pPr>
              <w:pStyle w:val="2"/>
              <w:spacing w:before="0" w:line="26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5299" w:type="dxa"/>
            <w:vAlign w:val="center"/>
          </w:tcPr>
          <w:p>
            <w:pPr>
              <w:pStyle w:val="2"/>
              <w:spacing w:before="0" w:line="260" w:lineRule="exact"/>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对申报资料的完整性进行打分。优秀得4-5分，良好得2-3分，一般得1分，申报资料质量差的不得分。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803" w:type="dxa"/>
            <w:vAlign w:val="center"/>
          </w:tcPr>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398" w:type="dxa"/>
            <w:vAlign w:val="center"/>
          </w:tcPr>
          <w:p>
            <w:pPr>
              <w:pStyle w:val="2"/>
              <w:spacing w:before="0" w:line="2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报价部分</w:t>
            </w:r>
          </w:p>
          <w:p>
            <w:pPr>
              <w:pStyle w:val="2"/>
              <w:spacing w:before="0" w:line="2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6938" w:type="dxa"/>
            <w:gridSpan w:val="2"/>
            <w:vAlign w:val="center"/>
          </w:tcPr>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报价得分计算方法：</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高于评标基准价的计算方式</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-0.1×偏差率</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偏差率=【（投标人报价－评标基准价）/评标基准价】×100</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低于于评标基准价的计算方式</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-0.1×偏差率</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偏差率=【（评标基准价－投标人报价）/评标基准价】×100</w:t>
            </w:r>
          </w:p>
          <w:p>
            <w:pPr>
              <w:pStyle w:val="2"/>
              <w:spacing w:before="0" w:line="26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评标基准价：以投标人的有效投标报价的平均值做为评标基准价（当投标人的有效投标报价多于或等于七家的去掉一个最高和一个最低报价，其余有效投标报价的平均数作为评标基准价）</w:t>
            </w:r>
          </w:p>
        </w:tc>
      </w:tr>
    </w:tbl>
    <w:p>
      <w:r>
        <w:rPr>
          <w:rFonts w:hint="eastAsi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61"/>
    <w:rsid w:val="001C127E"/>
    <w:rsid w:val="00453E6E"/>
    <w:rsid w:val="00617971"/>
    <w:rsid w:val="00763568"/>
    <w:rsid w:val="0076608D"/>
    <w:rsid w:val="007B3261"/>
    <w:rsid w:val="02394E5C"/>
    <w:rsid w:val="03C020B7"/>
    <w:rsid w:val="06417DE6"/>
    <w:rsid w:val="07D226C2"/>
    <w:rsid w:val="08D64353"/>
    <w:rsid w:val="0BB359C0"/>
    <w:rsid w:val="0C433FAA"/>
    <w:rsid w:val="0C4E7DBD"/>
    <w:rsid w:val="0D6A025E"/>
    <w:rsid w:val="0DED2811"/>
    <w:rsid w:val="0EAD4424"/>
    <w:rsid w:val="12C13A3A"/>
    <w:rsid w:val="13204F42"/>
    <w:rsid w:val="167C0930"/>
    <w:rsid w:val="182C7630"/>
    <w:rsid w:val="19B432D0"/>
    <w:rsid w:val="19C71B4A"/>
    <w:rsid w:val="1A8C65C3"/>
    <w:rsid w:val="1B492843"/>
    <w:rsid w:val="1B9703C5"/>
    <w:rsid w:val="1C35306E"/>
    <w:rsid w:val="1CF62F4A"/>
    <w:rsid w:val="1D4319E0"/>
    <w:rsid w:val="1F065DFC"/>
    <w:rsid w:val="22EE0D5B"/>
    <w:rsid w:val="263E6EC9"/>
    <w:rsid w:val="27604855"/>
    <w:rsid w:val="298E206F"/>
    <w:rsid w:val="29B84F82"/>
    <w:rsid w:val="2A5D7C8E"/>
    <w:rsid w:val="2ACB7617"/>
    <w:rsid w:val="2C743633"/>
    <w:rsid w:val="2F475240"/>
    <w:rsid w:val="31B77F20"/>
    <w:rsid w:val="32315C05"/>
    <w:rsid w:val="333A0650"/>
    <w:rsid w:val="343D55E2"/>
    <w:rsid w:val="3646587D"/>
    <w:rsid w:val="394008D6"/>
    <w:rsid w:val="3B452779"/>
    <w:rsid w:val="3BA1369D"/>
    <w:rsid w:val="3C4C11FB"/>
    <w:rsid w:val="3CC974A4"/>
    <w:rsid w:val="44F12C03"/>
    <w:rsid w:val="475F03BB"/>
    <w:rsid w:val="47FF2D16"/>
    <w:rsid w:val="48B87EC8"/>
    <w:rsid w:val="490D13D8"/>
    <w:rsid w:val="49CF3830"/>
    <w:rsid w:val="4CDB12DE"/>
    <w:rsid w:val="4CFF394F"/>
    <w:rsid w:val="4E8054F0"/>
    <w:rsid w:val="54016F40"/>
    <w:rsid w:val="574511ED"/>
    <w:rsid w:val="57D245B4"/>
    <w:rsid w:val="580E43D9"/>
    <w:rsid w:val="5936059E"/>
    <w:rsid w:val="5A8E158E"/>
    <w:rsid w:val="5AB744D0"/>
    <w:rsid w:val="5B8F7CD5"/>
    <w:rsid w:val="5BAEE1B9"/>
    <w:rsid w:val="5CD025D3"/>
    <w:rsid w:val="5D623D8B"/>
    <w:rsid w:val="61BA6458"/>
    <w:rsid w:val="63D21525"/>
    <w:rsid w:val="652F035F"/>
    <w:rsid w:val="668F6351"/>
    <w:rsid w:val="67435B48"/>
    <w:rsid w:val="68364CD7"/>
    <w:rsid w:val="6B202798"/>
    <w:rsid w:val="6B6048CC"/>
    <w:rsid w:val="6B6158FA"/>
    <w:rsid w:val="6B7357E7"/>
    <w:rsid w:val="6CEF6A2B"/>
    <w:rsid w:val="6E006533"/>
    <w:rsid w:val="6F8171D3"/>
    <w:rsid w:val="72572D48"/>
    <w:rsid w:val="725D380C"/>
    <w:rsid w:val="79D770B5"/>
    <w:rsid w:val="79FD3FA4"/>
    <w:rsid w:val="7D0E6C30"/>
    <w:rsid w:val="7F1C2189"/>
    <w:rsid w:val="FEAD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Words>
  <Characters>1078</Characters>
  <Lines>8</Lines>
  <Paragraphs>2</Paragraphs>
  <TotalTime>176</TotalTime>
  <ScaleCrop>false</ScaleCrop>
  <LinksUpToDate>false</LinksUpToDate>
  <CharactersWithSpaces>1264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2026-01-21T09:43:00Z</dcterms:created>
  <dc:creator>hk</dc:creator>
  <cp:lastModifiedBy>lijiacheng</cp:lastModifiedBy>
  <cp:lastPrinted>2026-04-30T04:56:45Z</cp:lastPrinted>
  <dcterms:modified xsi:type="dcterms:W3CDTF">2026-04-30T08:06:25Z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eyJoZGlkIjoiYzlmZWQyZDgwOGFmMGQ0ODBiZjFmMDg3YTMwMmZjYzQiLCJ1c2VySWQiOiI0Mjc2NTg0ODUifQ==</vt:lpwstr>
  </property>
  <property fmtid="{D5CDD505-2E9C-101B-9397-08002B2CF9AE}" pid="4" name="ICV">
    <vt:lpwstr>7994266F70464592A7BCDFE7E7346642_12</vt:lpwstr>
  </property>
</Properties>
</file>